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6" w:type="dxa"/>
        <w:jc w:val="center"/>
        <w:tblLayout w:type="fixed"/>
        <w:tblLook w:val="04A0"/>
      </w:tblPr>
      <w:tblGrid>
        <w:gridCol w:w="8986"/>
      </w:tblGrid>
      <w:tr w:rsidR="0099526E">
        <w:trPr>
          <w:jc w:val="center"/>
        </w:trPr>
        <w:tc>
          <w:tcPr>
            <w:tcW w:w="8986" w:type="dxa"/>
            <w:shd w:val="clear" w:color="auto" w:fill="auto"/>
            <w:vAlign w:val="center"/>
          </w:tcPr>
          <w:p w:rsidR="0099526E" w:rsidRDefault="0099526E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 w:rsidRPr="0099526E">
              <w:pict>
                <v:line id="_x0000_s1026" style="position:absolute;left:0;text-align:left;z-index:251659264" from="-8.45pt,84.3pt" to="445.1pt,84.3pt" strokecolor="red" strokeweight="4.5pt">
                  <v:stroke linestyle="thickThin"/>
                </v:line>
              </w:pict>
            </w:r>
            <w:r w:rsidR="00C508E3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99526E" w:rsidRDefault="0099526E">
      <w:r>
        <w:pict>
          <v:line id="_x0000_s1027" style="position:absolute;left:0;text-align:left;z-index:251660288;mso-position-horizontal-relative:text;mso-position-vertical-relative:text" from="1.3pt,594.65pt" to="454.85pt,594.65pt" strokecolor="red" strokeweight="4.5pt">
            <v:stroke linestyle="thinThick"/>
          </v:line>
        </w:pict>
      </w:r>
    </w:p>
    <w:p w:rsidR="0099526E" w:rsidRDefault="00C508E3">
      <w:pPr>
        <w:shd w:val="clear" w:color="auto" w:fill="FFFFFF"/>
        <w:spacing w:line="600" w:lineRule="exact"/>
        <w:jc w:val="center"/>
        <w:rPr>
          <w:rStyle w:val="a6"/>
          <w:rFonts w:ascii="方正小标宋简体" w:eastAsia="方正小标宋简体" w:hAnsi="Times New Roman" w:cs="Times New Roman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</w:pPr>
      <w:r>
        <w:rPr>
          <w:rStyle w:val="a6"/>
          <w:rFonts w:ascii="方正小标宋简体" w:eastAsia="方正小标宋简体" w:hAnsi="Times New Roman" w:cs="Times New Roman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  <w:t>关于开展省属高校财务管理</w:t>
      </w:r>
    </w:p>
    <w:p w:rsidR="0099526E" w:rsidRDefault="00C508E3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333333"/>
          <w:sz w:val="44"/>
          <w:szCs w:val="44"/>
        </w:rPr>
      </w:pPr>
      <w:r>
        <w:rPr>
          <w:rStyle w:val="a6"/>
          <w:rFonts w:ascii="方正小标宋简体" w:eastAsia="方正小标宋简体" w:hAnsi="Times New Roman" w:cs="Times New Roman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  <w:t>自查自纠工作的通知</w:t>
      </w:r>
    </w:p>
    <w:p w:rsidR="0099526E" w:rsidRDefault="0099526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各省属普通高等学校：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近年来，各高校按照省里的统一部署，积极贯彻新发展理念，落实新预算法要求，调整优化经费使用结构，大力压减一般性支出，扎实推进政府会计制度改革，在规范财务管理方面取得了明显成效。但在巡视、审计、检查的过程中发现，高校财务管理方面仍存在不少问题。省委省政府领导为此多次批示，要求加强高校财务管理。为贯彻落实省委省政府领导批示精神，进一步严肃财经纪律，加强财务管理，经研究决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,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以问题为导向专门开展高校</w:t>
      </w:r>
      <w:r>
        <w:rPr>
          <w:rFonts w:ascii="Times New Roman" w:eastAsia="仿宋_GB2312" w:hAnsi="Times New Roman" w:cs="Times New Roman"/>
          <w:sz w:val="32"/>
          <w:szCs w:val="32"/>
        </w:rPr>
        <w:t>财务管理自查自纠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。现就有关事项通知如下：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Times New Roman"/>
          <w:color w:val="333333"/>
          <w:kern w:val="0"/>
          <w:sz w:val="32"/>
          <w:szCs w:val="32"/>
          <w:shd w:val="clear" w:color="auto" w:fill="FFFFFF"/>
          <w:lang/>
        </w:rPr>
        <w:t>一、自查自纠对象和范围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自查自纠对象为纳入省教育厅预算管理的省属高校。自查时间范围从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2019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月至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2021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6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月底。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Times New Roman"/>
          <w:color w:val="333333"/>
          <w:kern w:val="0"/>
          <w:sz w:val="32"/>
          <w:szCs w:val="32"/>
          <w:shd w:val="clear" w:color="auto" w:fill="FFFFFF"/>
          <w:lang/>
        </w:rPr>
        <w:t>二、自查自纠的主要内容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资产基建管理方面。是否存在闲置的校区土地资产；是否有资产闲置和债务风险并存的问题；是否存在超概算工程项目及项目超概算金额和比例情况；是否存在用学校资金购买商品房、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lastRenderedPageBreak/>
        <w:t>违规垫付建设费用或建设附属设施行为；社会化学生公寓、食堂回购是否符合规定；是否存在教育培训业务、场地设备等违规对外承包；是否存在学校土地资产处置、固定资产处置、房屋场地资产等出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租出售等造成国有资产或收益流失；是否超限额配备固定资产；固定资产是否按规定计提折旧。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预算管理方面。是否存在学校预算与上报预算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两张皮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的问题；整体预算和重大预算调整是否纳入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三重一大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范围；是否实行全口径预算管理，实行预算收支平衡，有无预算赤字造成内债问题；是否存在到下属单位列支转嫁费用的问题；预算执行是否严格刚性。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科研经费管理方面。是否存在配套科研经费随意、不公平或违规的问题；是否存在超预算、以大额现金支付、通过虚假发票或虚构劳务费等违规开支科研经费的问题；是否存在科研经费长期挂账、结余资金未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及时清理的问题。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人员经费管理方面。是否存在绩效工资总量超标问题；人才引进经费是否符合规定；是否存在滥发津补贴发放问题；劳务费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(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特别是非职务性劳务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)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发放是否符合规定；是否虚列名目发放奖金和补助；是否违规发放招生奖金、加班费和购物卡等；是否超范围列支其他对个人和家庭补助支出。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项目招投标方面。是否存在未公开招投标的工程项目；是否存在招投标程序违规情况；是否存在围标串标、招投标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专业户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现象。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lastRenderedPageBreak/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学生权益保障方面。有无违规向学生收取录取费、转学费、转专业费、选课费、补考费、培训费、报名费和维护费等问题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，有无超标准收取学费、住宿费和重修费等问题。有无占用学生教材差价款、生活用品差价款、军训服装费差价款、体检费和学生门诊统筹基金等问题。有无违规收取食堂折旧费和食堂经营管理费等问题。有无违规向学生收取专业人才培养方案内教学任务的培训费、实习实训费等问题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专项资金管理方面。专项资金细化分配是否合理，是否建立项目库，是否开展绩效评价；是否设立专项资金项目账；有无违规提取专项资金管理费问题；是否存在专项资金绩效不明显问题。</w:t>
      </w:r>
    </w:p>
    <w:p w:rsidR="0099526E" w:rsidRDefault="00C508E3">
      <w:pPr>
        <w:shd w:val="clear" w:color="auto" w:fill="FFFFFF"/>
        <w:spacing w:line="600" w:lineRule="exact"/>
        <w:ind w:firstLine="648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财务管理方面。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三公两费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管理是否规范；会计科目使用是否规范；是否严格履行不相容岗位设置要求；实有资金账户管理是否规范；是否存在资金账外运行和私设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小金库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的问题（如二级院系收入、土地租赁收入、门面租金及管理费、培训费、承包款、专利技术转让费和教材图书返还款等未纳入学校账务）。</w:t>
      </w:r>
    </w:p>
    <w:p w:rsidR="0099526E" w:rsidRDefault="00C508E3">
      <w:pPr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Times New Roman"/>
          <w:color w:val="333333"/>
          <w:sz w:val="32"/>
          <w:szCs w:val="32"/>
        </w:rPr>
      </w:pPr>
      <w:r>
        <w:rPr>
          <w:rStyle w:val="a6"/>
          <w:rFonts w:ascii="黑体" w:eastAsia="黑体" w:hAnsi="黑体" w:cs="Times New Roman"/>
          <w:b w:val="0"/>
          <w:color w:val="333333"/>
          <w:kern w:val="0"/>
          <w:sz w:val="32"/>
          <w:szCs w:val="32"/>
          <w:shd w:val="clear" w:color="auto" w:fill="FFFFFF"/>
          <w:lang/>
        </w:rPr>
        <w:t>三、工作要求</w:t>
      </w:r>
    </w:p>
    <w:p w:rsidR="0099526E" w:rsidRDefault="00C508E3">
      <w:pPr>
        <w:shd w:val="clear" w:color="auto" w:fill="FFFFFF"/>
        <w:spacing w:line="600" w:lineRule="exact"/>
        <w:ind w:firstLine="66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认真开展自查自纠。各高校要高度重视，</w:t>
      </w:r>
      <w:r>
        <w:rPr>
          <w:rFonts w:ascii="Times New Roman" w:eastAsia="仿宋_GB2312" w:hAnsi="Times New Roman" w:cs="Times New Roman"/>
          <w:sz w:val="32"/>
          <w:szCs w:val="32"/>
        </w:rPr>
        <w:t>严格按照省教育厅、省财政厅《关于进一步加强省属高校财务管理等有关事项的意见》（湘教发〔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号）要求，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结合本校实际情况，制定工作方案，精心部署开展自查自纠工作。</w:t>
      </w:r>
      <w:r>
        <w:rPr>
          <w:rFonts w:ascii="Times New Roman" w:eastAsia="仿宋_GB2312" w:hAnsi="Times New Roman" w:cs="Times New Roman"/>
          <w:sz w:val="32"/>
          <w:szCs w:val="32"/>
        </w:rPr>
        <w:t>对于自查中发现的问题，要严格按有关规定进行整改。我厅将根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据各校自查自纠情况，结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lastRenderedPageBreak/>
        <w:t>合巡视、审计和检查反馈的问题，适时进行抽查，如发现弄虚作假、敷衍塞责的，将按有关规定进行严肃处理。</w:t>
      </w:r>
    </w:p>
    <w:p w:rsidR="0099526E" w:rsidRDefault="00C508E3">
      <w:pPr>
        <w:shd w:val="clear" w:color="auto" w:fill="FFFFFF"/>
        <w:spacing w:line="600" w:lineRule="exact"/>
        <w:ind w:firstLine="66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进一步规范财务管理。各高校对自查中发现的问题，要举一反三，建章立制，堵塞漏洞，切实规范整改。要进一步夯实会计工作基础，健全内部控制制度，运用大数据和信息化手段，加强财务稽核和财务分析，规范财务管理，防范财务风险，提高资金使用效益。</w:t>
      </w:r>
    </w:p>
    <w:p w:rsidR="0099526E" w:rsidRDefault="00C508E3">
      <w:pPr>
        <w:shd w:val="clear" w:color="auto" w:fill="FFFFFF"/>
        <w:spacing w:line="600" w:lineRule="exact"/>
        <w:ind w:firstLine="66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按时上报材料。自查整改情况要形成书面材料，在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6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30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日前将自查自纠报告盖章扫描件以及有关表格电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子档，由学校财务部门通过数据直报系统报送省教育厅财务建设处。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联系人及联系电话：刘旭日，</w:t>
      </w:r>
      <w:r>
        <w:rPr>
          <w:rFonts w:ascii="Times New Roman" w:eastAsia="仿宋_GB2312" w:hAnsi="Times New Roman" w:cs="Times New Roman"/>
          <w:sz w:val="32"/>
          <w:szCs w:val="32"/>
        </w:rPr>
        <w:t>0731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84722841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9526E" w:rsidRDefault="0099526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spacing w:line="600" w:lineRule="exact"/>
        <w:ind w:leftChars="304" w:left="1918" w:hangingChars="400" w:hanging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sz w:val="32"/>
          <w:szCs w:val="32"/>
        </w:rPr>
        <w:t>单位财务管理自查自纠报告（参考格式）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高校财务管理自查自纠情况表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高校人员经费发放情况表</w:t>
      </w:r>
    </w:p>
    <w:p w:rsidR="0099526E" w:rsidRDefault="0099526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spacing w:line="600" w:lineRule="exact"/>
        <w:ind w:rightChars="1011" w:right="2123" w:firstLineChars="531" w:firstLine="1699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湖南省教育厅</w:t>
      </w:r>
    </w:p>
    <w:p w:rsidR="0099526E" w:rsidRDefault="00C508E3">
      <w:pPr>
        <w:spacing w:line="600" w:lineRule="exact"/>
        <w:ind w:rightChars="403" w:right="846" w:firstLineChars="1450" w:firstLine="4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9526E" w:rsidRDefault="0099526E">
      <w:pPr>
        <w:spacing w:line="600" w:lineRule="exact"/>
        <w:ind w:rightChars="403" w:right="846" w:firstLineChars="1450" w:firstLine="4640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99526E">
          <w:footerReference w:type="even" r:id="rId8"/>
          <w:footerReference w:type="default" r:id="rId9"/>
          <w:pgSz w:w="11906" w:h="16838"/>
          <w:pgMar w:top="1701" w:right="1418" w:bottom="1418" w:left="1418" w:header="851" w:footer="1418" w:gutter="0"/>
          <w:cols w:space="720"/>
          <w:titlePg/>
          <w:docGrid w:type="lines" w:linePitch="312"/>
        </w:sectPr>
      </w:pPr>
    </w:p>
    <w:p w:rsidR="0099526E" w:rsidRDefault="00C508E3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:rsidR="0099526E" w:rsidRDefault="0099526E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**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单位财务管理自查自纠报告</w:t>
      </w:r>
    </w:p>
    <w:p w:rsidR="0099526E" w:rsidRDefault="00C508E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（参考格式）</w:t>
      </w:r>
    </w:p>
    <w:p w:rsidR="0099526E" w:rsidRDefault="0099526E">
      <w:pPr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省教育厅：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</w:t>
      </w:r>
      <w:r>
        <w:rPr>
          <w:rFonts w:ascii="Times New Roman" w:eastAsia="仿宋_GB2312" w:hAnsi="Times New Roman" w:cs="Times New Roman"/>
          <w:sz w:val="32"/>
          <w:szCs w:val="32"/>
        </w:rPr>
        <w:t>关于开展高校财务管理自查自纠工作的通知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，我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日就通知中的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个方面的问题，认真进行了</w:t>
      </w:r>
      <w:r>
        <w:rPr>
          <w:rFonts w:ascii="Times New Roman" w:eastAsia="仿宋_GB2312" w:hAnsi="Times New Roman" w:cs="Times New Roman"/>
          <w:sz w:val="32"/>
          <w:szCs w:val="32"/>
        </w:rPr>
        <w:t>自查</w:t>
      </w:r>
      <w:r>
        <w:rPr>
          <w:rFonts w:ascii="Times New Roman" w:eastAsia="仿宋_GB2312" w:hAnsi="Times New Roman" w:cs="Times New Roman"/>
          <w:sz w:val="32"/>
          <w:szCs w:val="32"/>
        </w:rPr>
        <w:t>自纠</w:t>
      </w:r>
      <w:r>
        <w:rPr>
          <w:rFonts w:ascii="Times New Roman" w:eastAsia="仿宋_GB2312" w:hAnsi="Times New Roman" w:cs="Times New Roman"/>
          <w:sz w:val="32"/>
          <w:szCs w:val="32"/>
        </w:rPr>
        <w:t>。现将</w:t>
      </w:r>
      <w:r>
        <w:rPr>
          <w:rFonts w:ascii="Times New Roman" w:eastAsia="仿宋_GB2312" w:hAnsi="Times New Roman" w:cs="Times New Roman"/>
          <w:sz w:val="32"/>
          <w:szCs w:val="32"/>
        </w:rPr>
        <w:t>情况报告如下：</w:t>
      </w:r>
    </w:p>
    <w:p w:rsidR="0099526E" w:rsidRDefault="00C508E3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一、工作开展情况</w:t>
      </w:r>
    </w:p>
    <w:p w:rsidR="0099526E" w:rsidRDefault="00C508E3">
      <w:pPr>
        <w:spacing w:line="600" w:lineRule="exact"/>
        <w:ind w:firstLineChars="200" w:firstLine="608"/>
        <w:rPr>
          <w:rFonts w:ascii="Times New Roman" w:eastAsia="仿宋_GB2312" w:hAnsi="Times New Roman" w:cs="Times New Roman"/>
          <w:spacing w:val="-8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包括自查工作组织分工情况、自查工作方案、自查整体情况等。</w:t>
      </w:r>
    </w:p>
    <w:p w:rsidR="0099526E" w:rsidRDefault="00C508E3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二、存在的问题</w:t>
      </w:r>
    </w:p>
    <w:p w:rsidR="0099526E" w:rsidRDefault="00C508E3">
      <w:pPr>
        <w:spacing w:line="600" w:lineRule="exact"/>
        <w:ind w:firstLineChars="200" w:firstLine="608"/>
        <w:rPr>
          <w:rFonts w:ascii="Times New Roman" w:eastAsia="仿宋_GB2312" w:hAnsi="Times New Roman" w:cs="Times New Roman"/>
          <w:spacing w:val="-8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（一）自查发现的问题：分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个方面逐条列出自查发现的问题，以及</w:t>
      </w:r>
      <w:r>
        <w:rPr>
          <w:rFonts w:ascii="Times New Roman" w:eastAsia="仿宋_GB2312" w:hAnsi="Times New Roman" w:cs="Times New Roman"/>
          <w:color w:val="000000"/>
          <w:spacing w:val="-8"/>
          <w:sz w:val="32"/>
          <w:szCs w:val="32"/>
        </w:rPr>
        <w:t>本单位近</w:t>
      </w:r>
      <w:r>
        <w:rPr>
          <w:rFonts w:ascii="Times New Roman" w:eastAsia="仿宋_GB2312" w:hAnsi="Times New Roman" w:cs="Times New Roman"/>
          <w:color w:val="000000"/>
          <w:spacing w:val="-8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pacing w:val="-8"/>
          <w:sz w:val="32"/>
          <w:szCs w:val="32"/>
        </w:rPr>
        <w:t>年接受审计、巡视和财务检查等整改情况，是否有类似问题再次发生，是否完全整改到位。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（二）当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前整改</w:t>
      </w:r>
      <w:r>
        <w:rPr>
          <w:rFonts w:ascii="Times New Roman" w:eastAsia="仿宋_GB2312" w:hAnsi="Times New Roman" w:cs="Times New Roman"/>
          <w:sz w:val="32"/>
          <w:szCs w:val="32"/>
        </w:rPr>
        <w:t>情况：对应问题逐条反映整改情况，包括整改措施、整改结果和责任追究等情况。</w:t>
      </w:r>
    </w:p>
    <w:p w:rsidR="0099526E" w:rsidRDefault="00C508E3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三、下阶段改进措施</w:t>
      </w:r>
    </w:p>
    <w:p w:rsidR="0099526E" w:rsidRDefault="00C508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财务管理工作还存在哪些不足，将采取哪些改进措施。</w:t>
      </w:r>
    </w:p>
    <w:p w:rsidR="0099526E" w:rsidRDefault="0099526E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9526E" w:rsidRDefault="00C508E3">
      <w:pPr>
        <w:pStyle w:val="a3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单位（盖章）：</w:t>
      </w:r>
    </w:p>
    <w:p w:rsidR="0099526E" w:rsidRDefault="00C508E3">
      <w:pPr>
        <w:pStyle w:val="a3"/>
        <w:spacing w:after="0" w:line="600" w:lineRule="exact"/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单位负责人（签名）：</w:t>
      </w:r>
    </w:p>
    <w:p w:rsidR="0099526E" w:rsidRDefault="00C508E3">
      <w:pPr>
        <w:spacing w:line="600" w:lineRule="exact"/>
        <w:ind w:firstLineChars="325" w:firstLine="1040"/>
        <w:rPr>
          <w:rFonts w:ascii="Times New Roman" w:eastAsia="仿宋_GB2312" w:hAnsi="Times New Roman" w:cs="Times New Roman"/>
          <w:sz w:val="32"/>
          <w:szCs w:val="32"/>
        </w:rPr>
        <w:sectPr w:rsidR="0099526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9526E" w:rsidRDefault="00C508E3">
      <w:pPr>
        <w:spacing w:line="600" w:lineRule="exact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cs="宋体" w:hint="eastAsia"/>
          <w:kern w:val="0"/>
          <w:sz w:val="32"/>
          <w:szCs w:val="32"/>
        </w:rPr>
        <w:t>2</w:t>
      </w:r>
    </w:p>
    <w:p w:rsidR="0099526E" w:rsidRDefault="0099526E">
      <w:pPr>
        <w:spacing w:line="600" w:lineRule="exact"/>
        <w:rPr>
          <w:rFonts w:ascii="黑体" w:eastAsia="黑体" w:cs="宋体"/>
          <w:kern w:val="0"/>
          <w:sz w:val="32"/>
          <w:szCs w:val="32"/>
        </w:rPr>
      </w:pPr>
    </w:p>
    <w:p w:rsidR="0099526E" w:rsidRDefault="00C508E3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高校财务管理自查自纠情况表</w:t>
      </w:r>
    </w:p>
    <w:p w:rsidR="0099526E" w:rsidRDefault="0099526E">
      <w:pPr>
        <w:spacing w:line="600" w:lineRule="exact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99526E" w:rsidRDefault="00C508E3">
      <w:pPr>
        <w:snapToGrid w:val="0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填报单位：　　　　　　　　　填报日期：　　　　　　　具体联系人：　　　　　　　　　　联系电话：</w:t>
      </w:r>
    </w:p>
    <w:tbl>
      <w:tblPr>
        <w:tblW w:w="14176" w:type="dxa"/>
        <w:tblLayout w:type="fixed"/>
        <w:tblLook w:val="04A0"/>
      </w:tblPr>
      <w:tblGrid>
        <w:gridCol w:w="4929"/>
        <w:gridCol w:w="3718"/>
        <w:gridCol w:w="2269"/>
        <w:gridCol w:w="3260"/>
      </w:tblGrid>
      <w:tr w:rsidR="0099526E">
        <w:trPr>
          <w:trHeight w:val="605"/>
          <w:tblHeader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问题类别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自查发现的问题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整改情况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下阶段改进措施</w:t>
            </w:r>
          </w:p>
        </w:tc>
      </w:tr>
      <w:tr w:rsidR="0099526E">
        <w:trPr>
          <w:trHeight w:val="605"/>
        </w:trPr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1.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资产基建管理方面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2.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预算管理方面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3.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科研经费管理方面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4.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人员经费管理方面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val="605"/>
        </w:trPr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lastRenderedPageBreak/>
              <w:t>5.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项目招投标方面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6.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学生权益保障方面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7.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专项资金管理方面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8.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  <w:lang/>
              </w:rPr>
              <w:t>财务管理方面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9526E">
        <w:trPr>
          <w:trHeight w:hRule="exact" w:val="624"/>
        </w:trPr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C508E3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99526E" w:rsidRDefault="0099526E">
      <w:pPr>
        <w:snapToGrid w:val="0"/>
        <w:rPr>
          <w:rFonts w:ascii="Times New Roman" w:eastAsia="宋体" w:hAnsi="Times New Roman" w:cs="Times New Roman"/>
          <w:kern w:val="0"/>
          <w:sz w:val="24"/>
        </w:rPr>
      </w:pPr>
    </w:p>
    <w:p w:rsidR="0099526E" w:rsidRDefault="00C508E3">
      <w:pPr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br w:type="page"/>
      </w:r>
    </w:p>
    <w:p w:rsidR="0099526E" w:rsidRDefault="0099526E">
      <w:pPr>
        <w:snapToGrid w:val="0"/>
        <w:rPr>
          <w:rFonts w:ascii="Times New Roman" w:eastAsia="宋体" w:hAnsi="Times New Roman" w:cs="Times New Roman"/>
          <w:kern w:val="0"/>
          <w:sz w:val="24"/>
          <w:szCs w:val="32"/>
        </w:rPr>
        <w:sectPr w:rsidR="0099526E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99526E" w:rsidRDefault="00C508E3">
      <w:pPr>
        <w:spacing w:line="600" w:lineRule="exact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cs="宋体" w:hint="eastAsia"/>
          <w:kern w:val="0"/>
          <w:sz w:val="32"/>
          <w:szCs w:val="32"/>
        </w:rPr>
        <w:t>3</w:t>
      </w:r>
    </w:p>
    <w:p w:rsidR="0099526E" w:rsidRDefault="00C508E3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高校人员经费发放情况表</w:t>
      </w:r>
    </w:p>
    <w:p w:rsidR="0099526E" w:rsidRDefault="00C508E3">
      <w:pPr>
        <w:spacing w:line="600" w:lineRule="exact"/>
        <w:jc w:val="right"/>
        <w:rPr>
          <w:rFonts w:ascii="Times New Roman" w:hAnsi="Times New Roman" w:cs="Times New Roman"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Cs/>
          <w:kern w:val="0"/>
          <w:sz w:val="30"/>
          <w:szCs w:val="30"/>
        </w:rPr>
        <w:t>单位：万元</w:t>
      </w:r>
    </w:p>
    <w:tbl>
      <w:tblPr>
        <w:tblW w:w="20920" w:type="dxa"/>
        <w:tblInd w:w="93" w:type="dxa"/>
        <w:tblLayout w:type="fixed"/>
        <w:tblLook w:val="04A0"/>
      </w:tblPr>
      <w:tblGrid>
        <w:gridCol w:w="1008"/>
        <w:gridCol w:w="672"/>
        <w:gridCol w:w="900"/>
        <w:gridCol w:w="920"/>
        <w:gridCol w:w="680"/>
        <w:gridCol w:w="680"/>
        <w:gridCol w:w="680"/>
        <w:gridCol w:w="680"/>
        <w:gridCol w:w="680"/>
        <w:gridCol w:w="740"/>
        <w:gridCol w:w="680"/>
        <w:gridCol w:w="680"/>
        <w:gridCol w:w="680"/>
        <w:gridCol w:w="680"/>
        <w:gridCol w:w="680"/>
        <w:gridCol w:w="680"/>
        <w:gridCol w:w="780"/>
        <w:gridCol w:w="800"/>
        <w:gridCol w:w="640"/>
        <w:gridCol w:w="640"/>
        <w:gridCol w:w="1100"/>
        <w:gridCol w:w="860"/>
        <w:gridCol w:w="1100"/>
        <w:gridCol w:w="880"/>
        <w:gridCol w:w="880"/>
        <w:gridCol w:w="780"/>
        <w:gridCol w:w="740"/>
      </w:tblGrid>
      <w:tr w:rsidR="0099526E">
        <w:trPr>
          <w:trHeight w:val="588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编制人数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在职人数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列入工资发放范围人员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劳务派遣人数（通过劳务费发放工资人员）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工资福利支出（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个人及家庭补助支出（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303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商品和服务支出（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其中：</w:t>
            </w:r>
          </w:p>
        </w:tc>
      </w:tr>
      <w:tr w:rsidR="0099526E">
        <w:trPr>
          <w:trHeight w:val="256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26E" w:rsidRDefault="0099526E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基本工资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津贴补贴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绩效工资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其他工资福利支出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离休费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生活补助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助学金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医疗费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奖励金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其他对个人和家庭补助支出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前六项之外的科目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委托业务费（在该科目列支的人员经费）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其他交通费（车补）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其他商品服务支出（在该科目列支的人员经费）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离退休人员补助经费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含补差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人才引进或高层次人才补贴经费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发给在职职工的劳务费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科研劳务费</w:t>
            </w:r>
          </w:p>
        </w:tc>
      </w:tr>
      <w:tr w:rsidR="0099526E">
        <w:trPr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9526E">
        <w:trPr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9526E">
        <w:trPr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C508E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6E" w:rsidRDefault="0099526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9526E" w:rsidRDefault="0099526E">
      <w:pPr>
        <w:spacing w:line="600" w:lineRule="exact"/>
        <w:rPr>
          <w:rFonts w:ascii="Times New Roman" w:hAnsi="Times New Roman" w:cs="Times New Roman"/>
          <w:bCs/>
          <w:kern w:val="0"/>
          <w:sz w:val="44"/>
          <w:szCs w:val="44"/>
        </w:rPr>
      </w:pPr>
    </w:p>
    <w:p w:rsidR="0099526E" w:rsidRDefault="00C508E3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注：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年、</w:t>
      </w:r>
      <w:r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年按会计科目数据填报，</w:t>
      </w:r>
      <w:r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年填预算数据。</w:t>
      </w:r>
    </w:p>
    <w:sectPr w:rsidR="0099526E" w:rsidSect="0099526E">
      <w:pgSz w:w="23814" w:h="16840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E3" w:rsidRDefault="00C508E3" w:rsidP="0099526E">
      <w:r>
        <w:separator/>
      </w:r>
    </w:p>
  </w:endnote>
  <w:endnote w:type="continuationSeparator" w:id="1">
    <w:p w:rsidR="00C508E3" w:rsidRDefault="00C508E3" w:rsidP="00995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23127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526E" w:rsidRDefault="00C508E3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－</w: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2F73" w:rsidRPr="00CB2F7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1698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526E" w:rsidRDefault="00C508E3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－</w: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2F73" w:rsidRPr="00CB2F7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="0099526E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E3" w:rsidRDefault="00C508E3" w:rsidP="0099526E">
      <w:r>
        <w:separator/>
      </w:r>
    </w:p>
  </w:footnote>
  <w:footnote w:type="continuationSeparator" w:id="1">
    <w:p w:rsidR="00C508E3" w:rsidRDefault="00C508E3" w:rsidP="00995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bordersDoNotSurroundHeader/>
  <w:bordersDoNotSurroundFooter/>
  <w:trackRevisions/>
  <w:documentProtection w:edit="readOnly" w:enforcement="1"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ED0F0E"/>
    <w:rsid w:val="00043589"/>
    <w:rsid w:val="0009520F"/>
    <w:rsid w:val="00137B31"/>
    <w:rsid w:val="00137B92"/>
    <w:rsid w:val="00142E98"/>
    <w:rsid w:val="00147F09"/>
    <w:rsid w:val="00192C3E"/>
    <w:rsid w:val="001A621D"/>
    <w:rsid w:val="001D31E3"/>
    <w:rsid w:val="00225A6F"/>
    <w:rsid w:val="002349F0"/>
    <w:rsid w:val="00257431"/>
    <w:rsid w:val="00260564"/>
    <w:rsid w:val="00266609"/>
    <w:rsid w:val="002D2FBB"/>
    <w:rsid w:val="002F1437"/>
    <w:rsid w:val="00313621"/>
    <w:rsid w:val="0032751A"/>
    <w:rsid w:val="00340A36"/>
    <w:rsid w:val="00361910"/>
    <w:rsid w:val="003763F7"/>
    <w:rsid w:val="003B7E3B"/>
    <w:rsid w:val="003E6EC8"/>
    <w:rsid w:val="00427A68"/>
    <w:rsid w:val="0043759A"/>
    <w:rsid w:val="00445710"/>
    <w:rsid w:val="00591372"/>
    <w:rsid w:val="005B59C3"/>
    <w:rsid w:val="005C1554"/>
    <w:rsid w:val="005D453F"/>
    <w:rsid w:val="0061343C"/>
    <w:rsid w:val="006166E5"/>
    <w:rsid w:val="006252F1"/>
    <w:rsid w:val="006625C2"/>
    <w:rsid w:val="00702EF2"/>
    <w:rsid w:val="00713EC0"/>
    <w:rsid w:val="00751F1C"/>
    <w:rsid w:val="007707C9"/>
    <w:rsid w:val="007C5682"/>
    <w:rsid w:val="007E2513"/>
    <w:rsid w:val="007E70F6"/>
    <w:rsid w:val="008F4F9D"/>
    <w:rsid w:val="00904F10"/>
    <w:rsid w:val="00961F7C"/>
    <w:rsid w:val="009938C1"/>
    <w:rsid w:val="0099526E"/>
    <w:rsid w:val="009E2F24"/>
    <w:rsid w:val="009F1BFA"/>
    <w:rsid w:val="00A12E77"/>
    <w:rsid w:val="00AE5B0D"/>
    <w:rsid w:val="00B208BB"/>
    <w:rsid w:val="00B50F7D"/>
    <w:rsid w:val="00B54F6D"/>
    <w:rsid w:val="00BF7CF4"/>
    <w:rsid w:val="00C508E3"/>
    <w:rsid w:val="00C65B22"/>
    <w:rsid w:val="00C815C7"/>
    <w:rsid w:val="00CB2F73"/>
    <w:rsid w:val="00CD641D"/>
    <w:rsid w:val="00CE451C"/>
    <w:rsid w:val="00D12BF9"/>
    <w:rsid w:val="00D1650F"/>
    <w:rsid w:val="00D35357"/>
    <w:rsid w:val="00D37E0A"/>
    <w:rsid w:val="00D426C4"/>
    <w:rsid w:val="00D57E21"/>
    <w:rsid w:val="00DA14AC"/>
    <w:rsid w:val="00E144A8"/>
    <w:rsid w:val="00E835CC"/>
    <w:rsid w:val="00E95B60"/>
    <w:rsid w:val="00EC3532"/>
    <w:rsid w:val="00F60A18"/>
    <w:rsid w:val="00F81767"/>
    <w:rsid w:val="00F82768"/>
    <w:rsid w:val="00FA6D10"/>
    <w:rsid w:val="00FE4177"/>
    <w:rsid w:val="1CA120DD"/>
    <w:rsid w:val="57ED0F0E"/>
    <w:rsid w:val="64204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9526E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rsid w:val="0099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9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9526E"/>
    <w:rPr>
      <w:b/>
    </w:rPr>
  </w:style>
  <w:style w:type="character" w:styleId="a7">
    <w:name w:val="page number"/>
    <w:basedOn w:val="a0"/>
    <w:qFormat/>
    <w:rsid w:val="0099526E"/>
  </w:style>
  <w:style w:type="character" w:styleId="a8">
    <w:name w:val="Hyperlink"/>
    <w:basedOn w:val="a0"/>
    <w:qFormat/>
    <w:rsid w:val="0099526E"/>
    <w:rPr>
      <w:color w:val="0000FF"/>
      <w:u w:val="single"/>
    </w:rPr>
  </w:style>
  <w:style w:type="table" w:styleId="a9">
    <w:name w:val="Table Grid"/>
    <w:basedOn w:val="a1"/>
    <w:qFormat/>
    <w:rsid w:val="00995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qFormat/>
    <w:rsid w:val="0099526E"/>
    <w:pPr>
      <w:spacing w:line="360" w:lineRule="auto"/>
      <w:ind w:firstLineChars="200" w:firstLine="480"/>
    </w:pPr>
    <w:rPr>
      <w:rFonts w:ascii="宋体" w:eastAsia="楷体_GB2312" w:hAnsi="宋体"/>
      <w:sz w:val="24"/>
      <w:szCs w:val="21"/>
    </w:rPr>
  </w:style>
  <w:style w:type="character" w:customStyle="1" w:styleId="Char0">
    <w:name w:val="页眉 Char"/>
    <w:basedOn w:val="a0"/>
    <w:link w:val="a5"/>
    <w:qFormat/>
    <w:rsid w:val="0099526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952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semiHidden/>
    <w:unhideWhenUsed/>
    <w:rsid w:val="00CB2F73"/>
    <w:rPr>
      <w:sz w:val="18"/>
      <w:szCs w:val="18"/>
    </w:rPr>
  </w:style>
  <w:style w:type="character" w:customStyle="1" w:styleId="Char1">
    <w:name w:val="批注框文本 Char"/>
    <w:basedOn w:val="a0"/>
    <w:link w:val="aa"/>
    <w:semiHidden/>
    <w:rsid w:val="00CB2F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869A888C-B6B8-4700-B445-B706A0827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452</Words>
  <Characters>2580</Characters>
  <Application>Microsoft Office Word</Application>
  <DocSecurity>8</DocSecurity>
  <Lines>21</Lines>
  <Paragraphs>6</Paragraphs>
  <ScaleCrop>false</ScaleCrop>
  <Company>china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正文</dc:creator>
  <cp:lastModifiedBy>陈书</cp:lastModifiedBy>
  <cp:revision>2</cp:revision>
  <cp:lastPrinted>2021-06-01T08:10:00Z</cp:lastPrinted>
  <dcterms:created xsi:type="dcterms:W3CDTF">2021-06-01T08:14:00Z</dcterms:created>
  <dcterms:modified xsi:type="dcterms:W3CDTF">2021-06-01T08:14:00Z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