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bookmarkStart w:id="0" w:name="wh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吉首大学科研项目经费“包干制”管理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暂行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办法</w:t>
      </w: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>
      <w:pPr>
        <w:adjustRightInd w:val="0"/>
        <w:snapToGrid w:val="0"/>
        <w:spacing w:beforeLines="100" w:afterLines="100" w:line="60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第一章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总则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为深入贯彻落实党中央、国务院和湖南省委、省政府科技体制改革和“放管服”改革部署，进一步优化科研项目经费管理，推进项目经费使用“包干制”改革工作，根据《国务院办公厅关于改革完善中央财政科研经费管理的若干意见》（国办发〔2021〕32号）、《财政部国家自然科学基金委员会关于印发&lt;国家自然科学基金资助项目资金管理办法&gt;的通知》（财教〔2021〕177号）、《国家社会科学基金项目资金管理办法》（财教〔2021〕237号）、《湖南省科技厅湖南省财政厅湖南省教育厅关于印发&lt;湖南省科研项目经费“包干制”试点实施方案&gt;的通知》（湘科发〔2021〕132号）等文件有关要求，结合学校实际，制定本规定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本规定以有利于开展科研工作、打造具有核心竞争力的科技创新高地为目标，本着“充分放权、优化管理、注重绩效”的原则，明确权责边界，加强监督管理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" w:eastAsia="仿宋_GB2312" w:cs="仿宋_GB2312"/>
          <w:strike w:val="0"/>
          <w:dstrike w:val="0"/>
          <w:color w:val="auto"/>
          <w:sz w:val="32"/>
          <w:szCs w:val="32"/>
          <w:highlight w:val="none"/>
        </w:rPr>
        <w:t>项目整体绩效评价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，防止科研经费被套取、挪用、浪费等行为出现，使改革红利真正用于优化科研环境。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国家自然科学基金、国家社会科学基金、湖南省自然科学基金、湖南省社会科学规划基金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等各级各类科研项目中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明确规定实行“包干制”的项目，均参照本办法进行管理。</w:t>
      </w:r>
    </w:p>
    <w:p>
      <w:pPr>
        <w:adjustRightInd w:val="0"/>
        <w:snapToGrid w:val="0"/>
        <w:spacing w:beforeLines="100" w:afterLines="100" w:line="60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第二章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管理职责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“包干制”项目，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按照“统一领导、分级管理、责任到人”的原则，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实行“学校、二级单位、项目负责人”三级责任制。</w:t>
      </w:r>
    </w:p>
    <w:p>
      <w:pPr>
        <w:spacing w:line="580" w:lineRule="exact"/>
        <w:ind w:firstLine="480" w:firstLineChars="15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科研管理部门：负责科研经费合同管理和类型审核；监督科研经费的使用及项目执行情况；审批权限范围内的经费开支；开展科研经费绩效评价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按上级部门相关规定对外公开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80" w:lineRule="exact"/>
        <w:ind w:firstLine="480" w:firstLineChars="15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（二）财务部门：负责科研经费的会计监督和核算；负责科研经费到校信息发布、经费查询的过程管理。</w:t>
      </w:r>
    </w:p>
    <w:p>
      <w:pPr>
        <w:spacing w:line="580" w:lineRule="exact"/>
        <w:ind w:firstLine="480" w:firstLineChars="150"/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（三）资产管理部门：负责对用科研经费购置仪器设备和其他固定资产的管理工作。</w:t>
      </w:r>
    </w:p>
    <w:p>
      <w:pPr>
        <w:spacing w:line="580" w:lineRule="exact"/>
        <w:ind w:firstLine="480" w:firstLineChars="150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（四）人事部门：负责科研人员年度考核与科研绩效相关工作，协助科研人员聘请科研秘书和财务助理等相关事宜。</w:t>
      </w:r>
    </w:p>
    <w:p>
      <w:pPr>
        <w:spacing w:line="580" w:lineRule="exact"/>
        <w:ind w:firstLine="480" w:firstLineChars="15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（五）审计部门：负责对科研经费管理和使用进行检查或专项审计，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提出审计意见或建议，</w:t>
      </w:r>
      <w:r>
        <w:rPr>
          <w:rFonts w:eastAsia="仿宋_GB2312"/>
          <w:color w:val="auto"/>
          <w:sz w:val="32"/>
          <w:szCs w:val="32"/>
          <w:highlight w:val="none"/>
        </w:rPr>
        <w:t>督促审计</w:t>
      </w:r>
      <w:r>
        <w:rPr>
          <w:rFonts w:hint="eastAsia" w:eastAsia="仿宋_GB2312"/>
          <w:color w:val="auto"/>
          <w:sz w:val="32"/>
          <w:szCs w:val="32"/>
          <w:highlight w:val="none"/>
        </w:rPr>
        <w:t>发现问题及建议的</w:t>
      </w:r>
      <w:r>
        <w:rPr>
          <w:rFonts w:eastAsia="仿宋_GB2312"/>
          <w:color w:val="auto"/>
          <w:sz w:val="32"/>
          <w:szCs w:val="32"/>
          <w:highlight w:val="none"/>
        </w:rPr>
        <w:t>整改落实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；负责项目经费结题审签。</w:t>
      </w:r>
    </w:p>
    <w:p>
      <w:pPr>
        <w:numPr>
          <w:ilvl w:val="0"/>
          <w:numId w:val="0"/>
        </w:numPr>
        <w:snapToGrid w:val="0"/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科研项目负责人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严格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守国家有关财经法律法规和科研经费管理规定，自觉接受上级部门和学校的监督和检查，对科研经费使用的相关性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真实性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合规性、合法性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和效益性负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直接责任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beforeLines="100" w:afterLines="100" w:line="60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　第三章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经费管理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项目负责人无需编制项目预算。由项目负责人根据实际需要自主决定使用，学校实行预算总额控制。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经费使用范围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包括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设备费、材料费、测试化验加工费、燃料动力费、差旅/会议/国际合作与交流费、出版/文献/信息传播/知识产权事务费、劳务费、专家咨询费、管理费用、绩效支出以及其他合理支出。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间接经费的提取参照《吉首大学科研项目经费间接费用管理暂行办法》与项目负责人协商确定。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项目通过验收</w:t>
      </w:r>
      <w:r>
        <w:rPr>
          <w:rFonts w:hint="eastAsia" w:eastAsia="仿宋_GB2312"/>
          <w:color w:val="auto"/>
          <w:sz w:val="32"/>
          <w:szCs w:val="32"/>
          <w:highlight w:val="none"/>
        </w:rPr>
        <w:t>后结余经费的使用按上级部门管理办法执行；未明确规定的，结余经费自结题之日起2年内由项目组继续使用；若2年后结余经费仍有剩余的，由学校统筹用于全校基础研究的直接支出。项目主持人已调离的（组织调离的除外），结余经费由学校统筹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项目未能完成结题、被终止或撤项的，结余经费按上级部门管理办法执行; 未明确规定的由学校统筹。</w:t>
      </w:r>
    </w:p>
    <w:p>
      <w:pPr>
        <w:numPr>
          <w:ilvl w:val="0"/>
          <w:numId w:val="2"/>
        </w:numPr>
        <w:adjustRightInd w:val="0"/>
        <w:snapToGrid w:val="0"/>
        <w:spacing w:beforeLines="100" w:afterLines="100" w:line="60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 xml:space="preserve"> 项目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监管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实行项目负责人承诺制。在签订项目任务书时，项目负责人需签署承诺书，承诺遵守科研伦理道德和作风学风诚信要求，认真开展研发工作，对经费使用的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相关性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真实性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合规性、合法性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和效益性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承担责任。该承诺书一式二份，分别由项目负责人、科研管理部门保存。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建立“负面清单”，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列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入“负面清单”的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经费开支项目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禁止使用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负面清单”之外的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开支项目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违反国家法律法规、中央八项规定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违背科学共同体公认道德等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学校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根据法律法规和负面清单对“包干制”项目资金分配、使用和效益情况进行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不定期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检查监督、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审计或专项审计，并接受财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务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部门、审计部门和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相关上级管理部门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的检查与监督。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项目结题时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需要提交验收材料的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项目负责人根据实际使用情况编制项目经费决算，经财务处和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科研部门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审核后，上报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相关上级管理部门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上级主管部门授权学校验收组织管理的项目，由科研管理部门采用同行专家评议等多种方式自主验收。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项目负责人、项目评审和验收专家、项目合作单位和企业等参与主体要纳入科研诚信管理，将科研信用和科研经费使用挂钩。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对资金违规管理使用坚持零容忍,强化责任追究。对于违反负面清单、弄虚作假、恶意套取、违规使用经费行为或存在严重科研不端行为的，按照《科研诚信案件调查处理规则（试行）》国科发监〔2019〕323号相关文件精神予以惩戒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对于不按规定管理和使用项目经费，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存在违反负面清单等违规违法行为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的相关人员，按照国家法律法规严肃处理。</w:t>
      </w:r>
    </w:p>
    <w:p>
      <w:pPr>
        <w:adjustRightInd w:val="0"/>
        <w:snapToGrid w:val="0"/>
        <w:spacing w:beforeLines="100" w:afterLines="100" w:line="600" w:lineRule="exact"/>
        <w:jc w:val="center"/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第五章  绩效评价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项目负责人按照项目任务书，确定项目绩效目标，并在项目研究期内按年度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绩效自评。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研究期限内，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科研管理部门采用现场绩效评价、监督检查等方式，对项目经费使用情况、管理情况等进行抽查，评价结果作为项目结题和考核奖惩的重要依据。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strike/>
          <w:dstrike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结题验收时，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科研管理部门按照项目任务书确定的目标任务和考核指标，突出结果导向，开展绩效评价。</w:t>
      </w:r>
    </w:p>
    <w:p>
      <w:pPr>
        <w:adjustRightInd w:val="0"/>
        <w:snapToGrid w:val="0"/>
        <w:spacing w:beforeLines="100" w:afterLines="100" w:line="600" w:lineRule="exact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六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章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附则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本规定由科技处、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社科处、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财务处负责解释。</w:t>
      </w:r>
    </w:p>
    <w:p>
      <w:pPr>
        <w:numPr>
          <w:ilvl w:val="0"/>
          <w:numId w:val="1"/>
        </w:numPr>
        <w:snapToGrid w:val="0"/>
        <w:spacing w:line="580" w:lineRule="exact"/>
        <w:ind w:firstLine="64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本规定自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发布之日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实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rPr>
          <w:rFonts w:ascii="Times New Roman" w:hAnsi="Times New Roman"/>
          <w:color w:val="auto"/>
          <w:highlight w:val="none"/>
        </w:rPr>
      </w:pPr>
    </w:p>
    <w:p>
      <w:pPr>
        <w:widowControl/>
        <w:jc w:val="lef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br w:type="page"/>
      </w:r>
    </w:p>
    <w:p>
      <w:pPr>
        <w:spacing w:beforeLines="50" w:line="520" w:lineRule="exac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>
      <w:pPr>
        <w:spacing w:beforeLines="50"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吉首大学科研项目“包干制”</w:t>
      </w:r>
    </w:p>
    <w:p>
      <w:pPr>
        <w:spacing w:beforeLines="50"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经费使用承诺书</w:t>
      </w:r>
    </w:p>
    <w:p>
      <w:pPr>
        <w:adjustRightInd w:val="0"/>
        <w:snapToGrid w:val="0"/>
        <w:spacing w:line="480" w:lineRule="exact"/>
        <w:ind w:firstLine="555"/>
        <w:jc w:val="left"/>
        <w:rPr>
          <w:rFonts w:ascii="仿宋" w:hAnsi="仿宋"/>
          <w:color w:val="auto"/>
          <w:szCs w:val="30"/>
          <w:highlight w:val="none"/>
        </w:rPr>
      </w:pPr>
      <w:r>
        <w:rPr>
          <w:rFonts w:hint="eastAsia" w:ascii="仿宋" w:hAnsi="仿宋"/>
          <w:color w:val="auto"/>
          <w:szCs w:val="30"/>
          <w:highlight w:val="none"/>
        </w:rPr>
        <w:t>本人承担立项部门：项目名称：批准号：，在充分知悉项目经费包干使用有关政策的前提下，做如下承诺：</w:t>
      </w:r>
    </w:p>
    <w:p>
      <w:pPr>
        <w:pStyle w:val="12"/>
        <w:numPr>
          <w:ilvl w:val="0"/>
          <w:numId w:val="3"/>
        </w:numPr>
        <w:adjustRightInd w:val="0"/>
        <w:snapToGrid w:val="0"/>
        <w:spacing w:line="480" w:lineRule="exact"/>
        <w:ind w:left="0" w:firstLine="555" w:firstLineChars="0"/>
        <w:rPr>
          <w:rFonts w:ascii="仿宋" w:hAnsi="仿宋" w:eastAsia="仿宋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</w:rPr>
        <w:t>遵守《吉首大学科研项目经费“包干制”管理办法》及其他科研经费管理</w:t>
      </w:r>
      <w:r>
        <w:rPr>
          <w:rFonts w:ascii="仿宋" w:hAnsi="仿宋" w:eastAsia="仿宋" w:cs="Times New Roman"/>
          <w:color w:val="auto"/>
          <w:sz w:val="30"/>
          <w:szCs w:val="30"/>
          <w:highlight w:val="none"/>
        </w:rPr>
        <w:t>相关制度</w:t>
      </w: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</w:rPr>
        <w:t>规范，对经费使用的真实性、相关性、合理性、合规性和有效性承担责任；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line="480" w:lineRule="exact"/>
        <w:ind w:left="0" w:firstLine="555" w:firstLineChars="0"/>
        <w:rPr>
          <w:rFonts w:ascii="仿宋" w:hAnsi="仿宋" w:eastAsia="仿宋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</w:rPr>
        <w:t>尊重科研规律，弘扬科学家精神，严谨求实，追求卓越，自觉接受上级部门和校内外的监督；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line="480" w:lineRule="exact"/>
        <w:ind w:left="0" w:firstLine="555" w:firstLineChars="0"/>
        <w:rPr>
          <w:rFonts w:ascii="仿宋" w:hAnsi="仿宋" w:eastAsia="仿宋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</w:rPr>
        <w:t>遵守科研诚信和科研伦理规范，认真开展科学研究；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line="480" w:lineRule="exact"/>
        <w:ind w:left="0" w:firstLine="555" w:firstLineChars="0"/>
        <w:rPr>
          <w:rFonts w:ascii="仿宋" w:hAnsi="仿宋" w:eastAsia="仿宋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</w:rPr>
        <w:t>项目经费全部用于与本项目研究工作相关的支出，不用于与科学研究无关的支出，不截留、挪用、侵占项目经费；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line="480" w:lineRule="exact"/>
        <w:ind w:left="0" w:firstLine="555" w:firstLineChars="0"/>
        <w:rPr>
          <w:rFonts w:ascii="仿宋" w:hAnsi="仿宋" w:eastAsia="仿宋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</w:rPr>
        <w:t>严格遵守经费“包干制”负面清单禁止使用规定，不踩红线；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line="480" w:lineRule="exact"/>
        <w:ind w:left="0" w:firstLine="555" w:firstLineChars="0"/>
        <w:rPr>
          <w:rFonts w:ascii="仿宋" w:hAnsi="仿宋" w:eastAsia="仿宋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  <w:highlight w:val="none"/>
        </w:rPr>
        <w:t>项目结题时，统一在单位内部公开项目经费决算和项目结题/成果报告，接受监督。</w:t>
      </w:r>
    </w:p>
    <w:p>
      <w:pPr>
        <w:adjustRightInd w:val="0"/>
        <w:snapToGrid w:val="0"/>
        <w:spacing w:line="480" w:lineRule="exact"/>
        <w:ind w:firstLine="528" w:firstLineChars="176"/>
        <w:rPr>
          <w:rFonts w:ascii="仿宋" w:hAnsi="仿宋"/>
          <w:color w:val="auto"/>
          <w:szCs w:val="30"/>
          <w:highlight w:val="none"/>
        </w:rPr>
      </w:pPr>
      <w:r>
        <w:rPr>
          <w:rFonts w:hint="eastAsia" w:ascii="仿宋" w:hAnsi="仿宋"/>
          <w:color w:val="auto"/>
          <w:szCs w:val="30"/>
          <w:highlight w:val="none"/>
        </w:rPr>
        <w:t>如违反上述承诺，本人愿依法依规接受相关部门做出的各项处理决定。</w:t>
      </w:r>
    </w:p>
    <w:p>
      <w:pPr>
        <w:spacing w:beforeLines="50" w:afterLines="50"/>
        <w:ind w:firstLine="3900" w:firstLineChars="1300"/>
        <w:rPr>
          <w:rFonts w:ascii="仿宋" w:hAnsi="仿宋"/>
          <w:color w:val="auto"/>
          <w:szCs w:val="30"/>
          <w:highlight w:val="none"/>
        </w:rPr>
      </w:pPr>
      <w:r>
        <w:rPr>
          <w:rFonts w:hint="eastAsia" w:ascii="仿宋" w:hAnsi="仿宋"/>
          <w:color w:val="auto"/>
          <w:szCs w:val="30"/>
          <w:highlight w:val="none"/>
        </w:rPr>
        <w:t>项目负责人（签字）：</w:t>
      </w:r>
    </w:p>
    <w:p>
      <w:pPr>
        <w:spacing w:beforeLines="50" w:afterLines="50"/>
        <w:ind w:firstLine="3900" w:firstLineChars="1300"/>
        <w:rPr>
          <w:rFonts w:ascii="仿宋" w:hAnsi="仿宋"/>
          <w:color w:val="auto"/>
          <w:szCs w:val="30"/>
          <w:highlight w:val="none"/>
        </w:rPr>
      </w:pPr>
      <w:r>
        <w:rPr>
          <w:rFonts w:hint="eastAsia" w:ascii="仿宋" w:hAnsi="仿宋"/>
          <w:color w:val="auto"/>
          <w:szCs w:val="30"/>
          <w:highlight w:val="none"/>
        </w:rPr>
        <w:t>项目依托单位（盖章）：</w:t>
      </w:r>
    </w:p>
    <w:p>
      <w:pPr>
        <w:spacing w:beforeLines="50" w:afterLines="50"/>
        <w:jc w:val="center"/>
        <w:rPr>
          <w:rFonts w:ascii="仿宋" w:hAnsi="仿宋"/>
          <w:color w:val="auto"/>
          <w:szCs w:val="30"/>
          <w:highlight w:val="none"/>
        </w:rPr>
      </w:pPr>
      <w:r>
        <w:rPr>
          <w:rFonts w:hint="eastAsia" w:ascii="仿宋" w:hAnsi="仿宋"/>
          <w:color w:val="auto"/>
          <w:szCs w:val="30"/>
          <w:highlight w:val="none"/>
        </w:rPr>
        <w:t>日期：年月日</w:t>
      </w:r>
    </w:p>
    <w:p>
      <w:pPr>
        <w:rPr>
          <w:rFonts w:ascii="仿宋" w:hAnsi="仿宋"/>
          <w:color w:val="auto"/>
          <w:szCs w:val="30"/>
          <w:highlight w:val="none"/>
        </w:rPr>
      </w:pPr>
      <w:r>
        <w:rPr>
          <w:rFonts w:hint="eastAsia" w:ascii="仿宋" w:hAnsi="仿宋"/>
          <w:color w:val="auto"/>
          <w:szCs w:val="30"/>
          <w:highlight w:val="none"/>
        </w:rPr>
        <w:t>注：该承诺书一式三份，分别由项目负责人、科技处(社科处)和财务处保存</w:t>
      </w:r>
    </w:p>
    <w:p>
      <w:pPr>
        <w:widowControl/>
        <w:jc w:val="lef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仿宋" w:hAnsi="仿宋"/>
          <w:color w:val="auto"/>
          <w:szCs w:val="30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吉首大学科研项目“包干制”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经费使用“负面清单”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auto"/>
          <w:sz w:val="44"/>
          <w:szCs w:val="44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sz w:val="32"/>
                <w:highlight w:val="none"/>
              </w:rPr>
              <w:t>序号</w:t>
            </w:r>
          </w:p>
        </w:tc>
        <w:tc>
          <w:tcPr>
            <w:tcW w:w="7766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eastAsia="仿宋_GB2312"/>
                <w:b/>
                <w:bCs/>
                <w:color w:val="auto"/>
                <w:sz w:val="32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auto"/>
                <w:sz w:val="32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32"/>
                <w:highlight w:val="none"/>
              </w:rPr>
              <w:t>1</w:t>
            </w:r>
          </w:p>
        </w:tc>
        <w:tc>
          <w:tcPr>
            <w:tcW w:w="776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color w:val="auto"/>
                <w:sz w:val="32"/>
                <w:highlight w:val="none"/>
              </w:rPr>
            </w:pPr>
            <w:r>
              <w:rPr>
                <w:rFonts w:hint="eastAsia" w:eastAsia="仿宋_GB2312"/>
                <w:color w:val="auto"/>
                <w:spacing w:val="-6"/>
                <w:sz w:val="32"/>
                <w:highlight w:val="none"/>
              </w:rPr>
              <w:t>严禁列支基建费；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auto"/>
                <w:sz w:val="3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highlight w:val="none"/>
              </w:rPr>
              <w:t>2</w:t>
            </w:r>
          </w:p>
        </w:tc>
        <w:tc>
          <w:tcPr>
            <w:tcW w:w="776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color w:val="auto"/>
                <w:spacing w:val="-6"/>
                <w:sz w:val="32"/>
                <w:highlight w:val="none"/>
              </w:rPr>
            </w:pPr>
            <w:r>
              <w:rPr>
                <w:rFonts w:hint="eastAsia" w:eastAsia="仿宋_GB2312"/>
                <w:color w:val="auto"/>
                <w:spacing w:val="-6"/>
                <w:sz w:val="32"/>
                <w:highlight w:val="none"/>
              </w:rPr>
              <w:t>严禁</w:t>
            </w:r>
            <w:r>
              <w:rPr>
                <w:rFonts w:eastAsia="仿宋_GB2312"/>
                <w:color w:val="auto"/>
                <w:spacing w:val="-6"/>
                <w:sz w:val="32"/>
                <w:highlight w:val="none"/>
              </w:rPr>
              <w:t>虚构经济业务、编造虚假合同、使用虚假票据套取资金；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auto"/>
                <w:sz w:val="3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highlight w:val="none"/>
              </w:rPr>
              <w:t>3</w:t>
            </w:r>
          </w:p>
        </w:tc>
        <w:tc>
          <w:tcPr>
            <w:tcW w:w="776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color w:val="auto"/>
                <w:sz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highlight w:val="none"/>
              </w:rPr>
              <w:t>严禁</w:t>
            </w:r>
            <w:r>
              <w:rPr>
                <w:rFonts w:eastAsia="仿宋_GB2312"/>
                <w:color w:val="auto"/>
                <w:sz w:val="32"/>
                <w:highlight w:val="none"/>
              </w:rPr>
              <w:t>通过合作、协作经费方式套取资金</w:t>
            </w:r>
            <w:r>
              <w:rPr>
                <w:rFonts w:hint="eastAsia" w:eastAsia="仿宋_GB2312"/>
                <w:color w:val="auto"/>
                <w:sz w:val="32"/>
                <w:highlight w:val="none"/>
              </w:rPr>
              <w:t>，项目外协经费不得拨付给不具备相关条件和资质的协作方、与项目组成员及其亲属等有直接关系或利益关系的委托方</w:t>
            </w:r>
            <w:r>
              <w:rPr>
                <w:rFonts w:eastAsia="仿宋_GB2312"/>
                <w:color w:val="auto"/>
                <w:sz w:val="32"/>
                <w:highlight w:val="none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auto"/>
                <w:sz w:val="3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highlight w:val="none"/>
              </w:rPr>
              <w:t>4</w:t>
            </w:r>
          </w:p>
        </w:tc>
        <w:tc>
          <w:tcPr>
            <w:tcW w:w="776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color w:val="auto"/>
                <w:sz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highlight w:val="none"/>
              </w:rPr>
              <w:t>严禁通过虚假劳务合同、虚构、伪造人员名单等方式虚报冒领劳务费和专家咨询费，专家咨询费不得支付给参与项目研究和管理相关的工作人员；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auto"/>
                <w:sz w:val="3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highlight w:val="none"/>
              </w:rPr>
              <w:t>5</w:t>
            </w:r>
          </w:p>
        </w:tc>
        <w:tc>
          <w:tcPr>
            <w:tcW w:w="776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color w:val="auto"/>
                <w:sz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highlight w:val="none"/>
              </w:rPr>
              <w:t>严禁故意规避内控制度和政府采购等程序；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auto"/>
                <w:sz w:val="3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highlight w:val="none"/>
              </w:rPr>
              <w:t>6</w:t>
            </w:r>
          </w:p>
        </w:tc>
        <w:tc>
          <w:tcPr>
            <w:tcW w:w="776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color w:val="auto"/>
                <w:sz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highlight w:val="none"/>
              </w:rPr>
              <w:t>严禁以任何方式使用专项资金列支</w:t>
            </w:r>
            <w:r>
              <w:rPr>
                <w:rFonts w:eastAsia="仿宋_GB2312"/>
                <w:color w:val="auto"/>
                <w:sz w:val="32"/>
                <w:highlight w:val="none"/>
              </w:rPr>
              <w:t>应由个人及家庭负担的</w:t>
            </w:r>
            <w:r>
              <w:rPr>
                <w:rFonts w:hint="eastAsia" w:eastAsia="仿宋_GB2312"/>
                <w:color w:val="auto"/>
                <w:sz w:val="32"/>
                <w:highlight w:val="none"/>
              </w:rPr>
              <w:t>消费</w:t>
            </w:r>
            <w:r>
              <w:rPr>
                <w:rFonts w:eastAsia="仿宋_GB2312"/>
                <w:color w:val="auto"/>
                <w:sz w:val="32"/>
                <w:highlight w:val="none"/>
              </w:rPr>
              <w:t>支出</w:t>
            </w:r>
            <w:r>
              <w:rPr>
                <w:rFonts w:hint="eastAsia" w:eastAsia="仿宋_GB2312"/>
                <w:color w:val="auto"/>
                <w:sz w:val="32"/>
                <w:highlight w:val="none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auto"/>
                <w:sz w:val="3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highlight w:val="none"/>
              </w:rPr>
              <w:t>7</w:t>
            </w:r>
          </w:p>
        </w:tc>
        <w:tc>
          <w:tcPr>
            <w:tcW w:w="776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color w:val="auto"/>
                <w:sz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highlight w:val="none"/>
              </w:rPr>
              <w:t>严禁用于支付各种罚款、捐款、赞助、投资以及与科研无关的赔偿费、滞纳金、违约金等</w:t>
            </w:r>
            <w:r>
              <w:rPr>
                <w:rFonts w:eastAsia="仿宋_GB2312"/>
                <w:color w:val="auto"/>
                <w:sz w:val="32"/>
                <w:highlight w:val="none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auto"/>
                <w:sz w:val="3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highlight w:val="none"/>
              </w:rPr>
              <w:t>8</w:t>
            </w:r>
          </w:p>
        </w:tc>
        <w:tc>
          <w:tcPr>
            <w:tcW w:w="77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auto"/>
                <w:sz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highlight w:val="none"/>
              </w:rPr>
              <w:t>严禁支付娱乐、健身、旅游活动以及购买礼品礼券、消费卡券（含电子消费卡券）等；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color w:val="auto"/>
                <w:sz w:val="3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highlight w:val="none"/>
              </w:rPr>
              <w:t>9</w:t>
            </w:r>
          </w:p>
        </w:tc>
        <w:tc>
          <w:tcPr>
            <w:tcW w:w="7766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color w:val="auto"/>
                <w:sz w:val="32"/>
                <w:highlight w:val="none"/>
              </w:rPr>
            </w:pPr>
            <w:r>
              <w:rPr>
                <w:rFonts w:hint="eastAsia" w:eastAsia="仿宋_GB2312"/>
                <w:color w:val="auto"/>
                <w:sz w:val="32"/>
                <w:highlight w:val="none"/>
              </w:rPr>
              <w:t>严禁</w:t>
            </w:r>
            <w:r>
              <w:rPr>
                <w:rFonts w:eastAsia="仿宋_GB2312"/>
                <w:color w:val="auto"/>
                <w:sz w:val="32"/>
                <w:highlight w:val="none"/>
              </w:rPr>
              <w:t>设置“小金库”、账外账等违反财经纪律的行为</w:t>
            </w:r>
            <w:r>
              <w:rPr>
                <w:rFonts w:hint="eastAsia" w:eastAsia="仿宋_GB2312"/>
                <w:color w:val="auto"/>
                <w:sz w:val="32"/>
                <w:highlight w:val="none"/>
              </w:rPr>
              <w:t>。</w:t>
            </w:r>
          </w:p>
        </w:tc>
      </w:tr>
    </w:tbl>
    <w:p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644" w:bottom="1418" w:left="1644" w:header="851" w:footer="992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4"/>
        <w:szCs w:val="24"/>
      </w:rPr>
    </w:pPr>
    <w:r>
      <w:rPr>
        <w:rFonts w:hint="eastAsia" w:ascii="宋体" w:hAnsi="宋体" w:eastAsia="宋体"/>
        <w:sz w:val="24"/>
        <w:szCs w:val="24"/>
      </w:rPr>
      <w:t>―</w:t>
    </w:r>
    <w:r>
      <w:rPr>
        <w:rStyle w:val="9"/>
        <w:rFonts w:ascii="宋体" w:hAnsi="宋体" w:eastAsia="宋体"/>
        <w:sz w:val="24"/>
        <w:szCs w:val="24"/>
      </w:rPr>
      <w:fldChar w:fldCharType="begin"/>
    </w:r>
    <w:r>
      <w:rPr>
        <w:rStyle w:val="9"/>
        <w:rFonts w:ascii="宋体" w:hAnsi="宋体" w:eastAsia="宋体"/>
        <w:sz w:val="24"/>
        <w:szCs w:val="24"/>
      </w:rPr>
      <w:instrText xml:space="preserve"> PAGE </w:instrText>
    </w:r>
    <w:r>
      <w:rPr>
        <w:rStyle w:val="9"/>
        <w:rFonts w:ascii="宋体" w:hAnsi="宋体" w:eastAsia="宋体"/>
        <w:sz w:val="24"/>
        <w:szCs w:val="24"/>
      </w:rPr>
      <w:fldChar w:fldCharType="separate"/>
    </w:r>
    <w:r>
      <w:rPr>
        <w:rStyle w:val="9"/>
        <w:rFonts w:ascii="宋体" w:hAnsi="宋体" w:eastAsia="宋体"/>
        <w:sz w:val="24"/>
        <w:szCs w:val="24"/>
      </w:rPr>
      <w:t>3</w:t>
    </w:r>
    <w:r>
      <w:rPr>
        <w:rStyle w:val="9"/>
        <w:rFonts w:ascii="宋体" w:hAnsi="宋体" w:eastAsia="宋体"/>
        <w:sz w:val="24"/>
        <w:szCs w:val="24"/>
      </w:rPr>
      <w:fldChar w:fldCharType="end"/>
    </w:r>
    <w:r>
      <w:rPr>
        <w:rFonts w:hint="eastAsia" w:ascii="宋体" w:hAnsi="宋体" w:eastAsia="宋体"/>
        <w:sz w:val="24"/>
        <w:szCs w:val="24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4"/>
        <w:szCs w:val="24"/>
      </w:rPr>
    </w:pPr>
    <w:r>
      <w:rPr>
        <w:rFonts w:hint="eastAsia" w:ascii="宋体" w:hAnsi="宋体" w:eastAsia="宋体"/>
        <w:sz w:val="24"/>
        <w:szCs w:val="24"/>
      </w:rPr>
      <w:t>―</w:t>
    </w:r>
    <w:r>
      <w:rPr>
        <w:rStyle w:val="9"/>
        <w:rFonts w:ascii="宋体" w:hAnsi="宋体" w:eastAsia="宋体"/>
        <w:sz w:val="24"/>
        <w:szCs w:val="24"/>
      </w:rPr>
      <w:fldChar w:fldCharType="begin"/>
    </w:r>
    <w:r>
      <w:rPr>
        <w:rStyle w:val="9"/>
        <w:rFonts w:ascii="宋体" w:hAnsi="宋体" w:eastAsia="宋体"/>
        <w:sz w:val="24"/>
        <w:szCs w:val="24"/>
      </w:rPr>
      <w:instrText xml:space="preserve"> PAGE </w:instrText>
    </w:r>
    <w:r>
      <w:rPr>
        <w:rStyle w:val="9"/>
        <w:rFonts w:ascii="宋体" w:hAnsi="宋体" w:eastAsia="宋体"/>
        <w:sz w:val="24"/>
        <w:szCs w:val="24"/>
      </w:rPr>
      <w:fldChar w:fldCharType="separate"/>
    </w:r>
    <w:r>
      <w:rPr>
        <w:rStyle w:val="9"/>
        <w:rFonts w:ascii="宋体" w:hAnsi="宋体" w:eastAsia="宋体"/>
        <w:sz w:val="24"/>
        <w:szCs w:val="24"/>
      </w:rPr>
      <w:t>2</w:t>
    </w:r>
    <w:r>
      <w:rPr>
        <w:rStyle w:val="9"/>
        <w:rFonts w:ascii="宋体" w:hAnsi="宋体" w:eastAsia="宋体"/>
        <w:sz w:val="24"/>
        <w:szCs w:val="24"/>
      </w:rPr>
      <w:fldChar w:fldCharType="end"/>
    </w:r>
    <w:r>
      <w:rPr>
        <w:rFonts w:hint="eastAsia" w:ascii="宋体" w:hAnsi="宋体" w:eastAsia="宋体"/>
        <w:sz w:val="24"/>
        <w:szCs w:val="24"/>
      </w:rPr>
      <w:t>―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668ABE"/>
    <w:multiLevelType w:val="singleLevel"/>
    <w:tmpl w:val="D3668ABE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2AB2789"/>
    <w:multiLevelType w:val="singleLevel"/>
    <w:tmpl w:val="E2AB2789"/>
    <w:lvl w:ilvl="0" w:tentative="0">
      <w:start w:val="1"/>
      <w:numFmt w:val="chineseCounting"/>
      <w:suff w:val="space"/>
      <w:lvlText w:val="第%1条"/>
      <w:lvlJc w:val="left"/>
      <w:pPr>
        <w:ind w:left="-10"/>
      </w:pPr>
      <w:rPr>
        <w:rFonts w:hint="eastAsia"/>
        <w:strike w:val="0"/>
        <w:dstrike w:val="0"/>
      </w:rPr>
    </w:lvl>
  </w:abstractNum>
  <w:abstractNum w:abstractNumId="2">
    <w:nsid w:val="605D0FB6"/>
    <w:multiLevelType w:val="multilevel"/>
    <w:tmpl w:val="605D0FB6"/>
    <w:lvl w:ilvl="0" w:tentative="0">
      <w:start w:val="1"/>
      <w:numFmt w:val="japaneseCounting"/>
      <w:lvlText w:val="%1、"/>
      <w:lvlJc w:val="left"/>
      <w:pPr>
        <w:ind w:left="1275" w:hanging="720"/>
      </w:p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U2YTJlZmE4NTIxOGRlZDQyYTJkNWFkZWQyOGYwYjMifQ=="/>
  </w:docVars>
  <w:rsids>
    <w:rsidRoot w:val="3F8D494C"/>
    <w:rsid w:val="00014178"/>
    <w:rsid w:val="0002018E"/>
    <w:rsid w:val="00032432"/>
    <w:rsid w:val="000329FB"/>
    <w:rsid w:val="00037AA6"/>
    <w:rsid w:val="00056354"/>
    <w:rsid w:val="00076308"/>
    <w:rsid w:val="0009515C"/>
    <w:rsid w:val="000B547A"/>
    <w:rsid w:val="000D1FE6"/>
    <w:rsid w:val="000D32DF"/>
    <w:rsid w:val="00111E19"/>
    <w:rsid w:val="00137930"/>
    <w:rsid w:val="001534E5"/>
    <w:rsid w:val="00154573"/>
    <w:rsid w:val="001600FF"/>
    <w:rsid w:val="001721A0"/>
    <w:rsid w:val="00190F05"/>
    <w:rsid w:val="0019472C"/>
    <w:rsid w:val="001A07F2"/>
    <w:rsid w:val="001E78B0"/>
    <w:rsid w:val="001F2E8F"/>
    <w:rsid w:val="00212658"/>
    <w:rsid w:val="00224445"/>
    <w:rsid w:val="00256A6D"/>
    <w:rsid w:val="0026362A"/>
    <w:rsid w:val="002812A2"/>
    <w:rsid w:val="002A3C35"/>
    <w:rsid w:val="002B4FD1"/>
    <w:rsid w:val="002D21E6"/>
    <w:rsid w:val="002E1A46"/>
    <w:rsid w:val="003100BB"/>
    <w:rsid w:val="0032684B"/>
    <w:rsid w:val="003434E5"/>
    <w:rsid w:val="0038510E"/>
    <w:rsid w:val="00391F5A"/>
    <w:rsid w:val="003C3FA9"/>
    <w:rsid w:val="003E723C"/>
    <w:rsid w:val="00402774"/>
    <w:rsid w:val="004130CA"/>
    <w:rsid w:val="00420B61"/>
    <w:rsid w:val="00433563"/>
    <w:rsid w:val="004350F4"/>
    <w:rsid w:val="004562C8"/>
    <w:rsid w:val="004A19D2"/>
    <w:rsid w:val="004E1633"/>
    <w:rsid w:val="005148BB"/>
    <w:rsid w:val="005204EA"/>
    <w:rsid w:val="00526570"/>
    <w:rsid w:val="00540EAD"/>
    <w:rsid w:val="00575C3C"/>
    <w:rsid w:val="00582E64"/>
    <w:rsid w:val="005B0717"/>
    <w:rsid w:val="005B2C9F"/>
    <w:rsid w:val="005B41CD"/>
    <w:rsid w:val="005B5BFD"/>
    <w:rsid w:val="005E6D54"/>
    <w:rsid w:val="006067C4"/>
    <w:rsid w:val="00622B06"/>
    <w:rsid w:val="00676857"/>
    <w:rsid w:val="006C548D"/>
    <w:rsid w:val="00707B52"/>
    <w:rsid w:val="0073647B"/>
    <w:rsid w:val="007547A0"/>
    <w:rsid w:val="007922CA"/>
    <w:rsid w:val="00792D24"/>
    <w:rsid w:val="0079371B"/>
    <w:rsid w:val="00797DDC"/>
    <w:rsid w:val="007A4A37"/>
    <w:rsid w:val="007B3450"/>
    <w:rsid w:val="007C1FC9"/>
    <w:rsid w:val="007C749B"/>
    <w:rsid w:val="007D3F72"/>
    <w:rsid w:val="007E414D"/>
    <w:rsid w:val="007E5DD1"/>
    <w:rsid w:val="00814DC9"/>
    <w:rsid w:val="00825E73"/>
    <w:rsid w:val="00855F39"/>
    <w:rsid w:val="00885092"/>
    <w:rsid w:val="00886F48"/>
    <w:rsid w:val="008900F3"/>
    <w:rsid w:val="00896FA5"/>
    <w:rsid w:val="008D5109"/>
    <w:rsid w:val="008F3A8E"/>
    <w:rsid w:val="00902B34"/>
    <w:rsid w:val="00907096"/>
    <w:rsid w:val="009151D2"/>
    <w:rsid w:val="009155CD"/>
    <w:rsid w:val="009264C5"/>
    <w:rsid w:val="00934B61"/>
    <w:rsid w:val="009450AE"/>
    <w:rsid w:val="00953558"/>
    <w:rsid w:val="00961C4E"/>
    <w:rsid w:val="00973941"/>
    <w:rsid w:val="009B1B84"/>
    <w:rsid w:val="009E350A"/>
    <w:rsid w:val="009F46A9"/>
    <w:rsid w:val="00A209CA"/>
    <w:rsid w:val="00A230F1"/>
    <w:rsid w:val="00A35C3F"/>
    <w:rsid w:val="00A35F90"/>
    <w:rsid w:val="00A70731"/>
    <w:rsid w:val="00A73FCA"/>
    <w:rsid w:val="00A84AA4"/>
    <w:rsid w:val="00A8720F"/>
    <w:rsid w:val="00AB331B"/>
    <w:rsid w:val="00B515D9"/>
    <w:rsid w:val="00B60726"/>
    <w:rsid w:val="00B903C3"/>
    <w:rsid w:val="00BC7272"/>
    <w:rsid w:val="00BE5131"/>
    <w:rsid w:val="00C055F8"/>
    <w:rsid w:val="00C66173"/>
    <w:rsid w:val="00C9359E"/>
    <w:rsid w:val="00C96351"/>
    <w:rsid w:val="00CA5A9A"/>
    <w:rsid w:val="00CC5B8A"/>
    <w:rsid w:val="00CC6E4E"/>
    <w:rsid w:val="00CD4E3A"/>
    <w:rsid w:val="00CD6B89"/>
    <w:rsid w:val="00CE0598"/>
    <w:rsid w:val="00D0489B"/>
    <w:rsid w:val="00D17471"/>
    <w:rsid w:val="00D37598"/>
    <w:rsid w:val="00D550C3"/>
    <w:rsid w:val="00D552E9"/>
    <w:rsid w:val="00D7576B"/>
    <w:rsid w:val="00D76D6A"/>
    <w:rsid w:val="00D87EF5"/>
    <w:rsid w:val="00D9144D"/>
    <w:rsid w:val="00DD4F5E"/>
    <w:rsid w:val="00DD5135"/>
    <w:rsid w:val="00DE01EB"/>
    <w:rsid w:val="00E0340F"/>
    <w:rsid w:val="00E12BC3"/>
    <w:rsid w:val="00E16407"/>
    <w:rsid w:val="00E307B6"/>
    <w:rsid w:val="00E61752"/>
    <w:rsid w:val="00E75F02"/>
    <w:rsid w:val="00E83A37"/>
    <w:rsid w:val="00E84A60"/>
    <w:rsid w:val="00E950AF"/>
    <w:rsid w:val="00EB27F0"/>
    <w:rsid w:val="00ED1BD2"/>
    <w:rsid w:val="00F12E71"/>
    <w:rsid w:val="00F3267B"/>
    <w:rsid w:val="00F353A2"/>
    <w:rsid w:val="00F51F26"/>
    <w:rsid w:val="00F61585"/>
    <w:rsid w:val="00F77BA3"/>
    <w:rsid w:val="00F84475"/>
    <w:rsid w:val="00F950C9"/>
    <w:rsid w:val="00F97AA7"/>
    <w:rsid w:val="00FB287F"/>
    <w:rsid w:val="00FB6CA8"/>
    <w:rsid w:val="00FD3BFC"/>
    <w:rsid w:val="02311748"/>
    <w:rsid w:val="064026C7"/>
    <w:rsid w:val="076B77ED"/>
    <w:rsid w:val="09C45A60"/>
    <w:rsid w:val="0A187479"/>
    <w:rsid w:val="0C5E30DA"/>
    <w:rsid w:val="0E7301C2"/>
    <w:rsid w:val="0FB029A1"/>
    <w:rsid w:val="10A31484"/>
    <w:rsid w:val="16D948CC"/>
    <w:rsid w:val="170B17F5"/>
    <w:rsid w:val="1C63385B"/>
    <w:rsid w:val="1F1A119C"/>
    <w:rsid w:val="20D234E6"/>
    <w:rsid w:val="219C0FAD"/>
    <w:rsid w:val="22337A45"/>
    <w:rsid w:val="284266E0"/>
    <w:rsid w:val="29574BA2"/>
    <w:rsid w:val="29F24630"/>
    <w:rsid w:val="2AE2303D"/>
    <w:rsid w:val="2B7C524E"/>
    <w:rsid w:val="2BCD2D7C"/>
    <w:rsid w:val="2DC72CA5"/>
    <w:rsid w:val="2F3C370E"/>
    <w:rsid w:val="304218DF"/>
    <w:rsid w:val="30634A30"/>
    <w:rsid w:val="32ED00C3"/>
    <w:rsid w:val="33B60713"/>
    <w:rsid w:val="33CA63C3"/>
    <w:rsid w:val="35D4326E"/>
    <w:rsid w:val="363E191E"/>
    <w:rsid w:val="38024BAD"/>
    <w:rsid w:val="38B349EA"/>
    <w:rsid w:val="3AC31C34"/>
    <w:rsid w:val="3BE46DB3"/>
    <w:rsid w:val="3C896CF7"/>
    <w:rsid w:val="3D2207A6"/>
    <w:rsid w:val="3D2B35B8"/>
    <w:rsid w:val="3F6E638A"/>
    <w:rsid w:val="3F8D494C"/>
    <w:rsid w:val="41A12A7B"/>
    <w:rsid w:val="41AC0E5C"/>
    <w:rsid w:val="43B50671"/>
    <w:rsid w:val="44855519"/>
    <w:rsid w:val="44FB0A5C"/>
    <w:rsid w:val="4536770A"/>
    <w:rsid w:val="4736142B"/>
    <w:rsid w:val="48B94744"/>
    <w:rsid w:val="4AA50928"/>
    <w:rsid w:val="4B0214A8"/>
    <w:rsid w:val="4B1C7708"/>
    <w:rsid w:val="4BEF7FAC"/>
    <w:rsid w:val="4CCF41BE"/>
    <w:rsid w:val="4F8F71C5"/>
    <w:rsid w:val="4FAA1A06"/>
    <w:rsid w:val="508C0D83"/>
    <w:rsid w:val="51947305"/>
    <w:rsid w:val="526E161D"/>
    <w:rsid w:val="56B11DE5"/>
    <w:rsid w:val="571960AD"/>
    <w:rsid w:val="575275C9"/>
    <w:rsid w:val="5AD1493B"/>
    <w:rsid w:val="5C141978"/>
    <w:rsid w:val="5C91014C"/>
    <w:rsid w:val="5D465853"/>
    <w:rsid w:val="5EB24E25"/>
    <w:rsid w:val="5F9563FE"/>
    <w:rsid w:val="5FD463E0"/>
    <w:rsid w:val="5FE86E2F"/>
    <w:rsid w:val="60E57838"/>
    <w:rsid w:val="621D5338"/>
    <w:rsid w:val="627411E5"/>
    <w:rsid w:val="63362BAA"/>
    <w:rsid w:val="657F1404"/>
    <w:rsid w:val="685F12FB"/>
    <w:rsid w:val="68EE6305"/>
    <w:rsid w:val="69CA2B39"/>
    <w:rsid w:val="69D34A52"/>
    <w:rsid w:val="6A713D0D"/>
    <w:rsid w:val="6AB37626"/>
    <w:rsid w:val="6B7119D7"/>
    <w:rsid w:val="6C2E775A"/>
    <w:rsid w:val="6C8E0E4D"/>
    <w:rsid w:val="6CC208D6"/>
    <w:rsid w:val="756E5954"/>
    <w:rsid w:val="76F36A7E"/>
    <w:rsid w:val="78761131"/>
    <w:rsid w:val="78970F83"/>
    <w:rsid w:val="7ABF08F3"/>
    <w:rsid w:val="7CA05634"/>
    <w:rsid w:val="7CC3182A"/>
    <w:rsid w:val="7D1108E6"/>
    <w:rsid w:val="7FC43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/>
      <w:kern w:val="44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仿宋"/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rFonts w:ascii="Calibri" w:hAnsi="Calibri" w:eastAsia="仿宋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3214</Words>
  <Characters>3239</Characters>
  <Lines>23</Lines>
  <Paragraphs>6</Paragraphs>
  <TotalTime>13</TotalTime>
  <ScaleCrop>false</ScaleCrop>
  <LinksUpToDate>false</LinksUpToDate>
  <CharactersWithSpaces>3258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2021-11-05T00:23:00Z</dcterms:created>
  <dc:creator>欧阳</dc:creator>
  <cp:lastModifiedBy>JSDX</cp:lastModifiedBy>
  <dcterms:modified xsi:type="dcterms:W3CDTF">2022-05-12T04:16:08Z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ED773DDEDC4045248F5F8863ADBB40EA</vt:lpwstr>
  </property>
</Properties>
</file>